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4F4F1" w:themeColor="accent5" w:themeTint="33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  <w:t>计算机基础补考通知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129540</wp:posOffset>
            </wp:positionV>
            <wp:extent cx="1257300" cy="1257300"/>
            <wp:effectExtent l="0" t="0" r="7620" b="7620"/>
            <wp:wrapSquare wrapText="bothSides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本次补考利用智慧树平台在线形式进行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考试时间 2024年5月3日 8:30-10:00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 xml:space="preserve">课程代码：K880279  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班级：2022三年&amp;2020五年补考班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适用学生：</w:t>
      </w: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2022级三年大专暨2020级五年大专计算机基础学科期末成绩未合格学生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请各位参考学生尽早进入班级，通过审核，按时考试。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审核时间截止2024年5月3日8:00逾期责任自负</w:t>
      </w:r>
    </w:p>
    <w:p>
      <w:pPr>
        <w:numPr>
          <w:numId w:val="0"/>
        </w:numPr>
        <w:ind w:left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right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right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center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right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right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信息工程管理学院公共计算机教研室</w:t>
      </w:r>
    </w:p>
    <w:p>
      <w:pPr>
        <w:numPr>
          <w:numId w:val="0"/>
        </w:numPr>
        <w:tabs>
          <w:tab w:val="left" w:pos="6577"/>
        </w:tabs>
        <w:spacing w:afterAutospacing="0"/>
        <w:ind w:leftChars="0"/>
        <w:jc w:val="right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>2024年4月25日</w:t>
      </w:r>
    </w:p>
    <w:p>
      <w:pPr>
        <w:numPr>
          <w:numId w:val="0"/>
        </w:numPr>
        <w:tabs>
          <w:tab w:val="left" w:pos="6577"/>
        </w:tabs>
        <w:spacing w:afterAutospacing="0"/>
        <w:ind w:leftChars="0"/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2060"/>
          <w:sz w:val="30"/>
          <w:szCs w:val="30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3231B"/>
    <w:multiLevelType w:val="singleLevel"/>
    <w:tmpl w:val="013323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ZDMyZTg5NWVhNzQ4MTEzM2M5M2E2MzI3Y2U3NGUifQ=="/>
  </w:docVars>
  <w:rsids>
    <w:rsidRoot w:val="3A5C2A40"/>
    <w:rsid w:val="3A5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2024-04-24T21:46:00Z</dcterms:created>
  <dc:creator>林肯</dc:creator>
  <cp:lastModifiedBy>林肯</cp:lastModifiedBy>
  <dcterms:modified xsi:type="dcterms:W3CDTF">2024-04-24T22:27:14Z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071F150DF1AB43DB995CD7CF987E2B7C_11</vt:lpwstr>
  </property>
</Properties>
</file>